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84" w:tblpY="-9891"/>
        <w:tblOverlap w:val="never"/>
        <w:tblW w:w="8254" w:type="dxa"/>
        <w:tblInd w:w="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1"/>
        <w:gridCol w:w="417"/>
        <w:gridCol w:w="970"/>
        <w:gridCol w:w="718"/>
        <w:gridCol w:w="459"/>
        <w:gridCol w:w="451"/>
        <w:gridCol w:w="1446"/>
        <w:gridCol w:w="1143"/>
        <w:gridCol w:w="864"/>
        <w:gridCol w:w="723"/>
        <w:gridCol w:w="381"/>
      </w:tblGrid>
      <w:tr w:rsidR="008406E9">
        <w:trPr>
          <w:trHeight w:val="389"/>
        </w:trPr>
        <w:tc>
          <w:tcPr>
            <w:tcW w:w="43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  <w:bookmarkStart w:id="0" w:name="_GoBack"/>
            <w:bookmarkEnd w:id="0"/>
          </w:p>
        </w:tc>
        <w:tc>
          <w:tcPr>
            <w:tcW w:w="78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06E9" w:rsidRDefault="008C12D3">
            <w:pPr>
              <w:spacing w:after="0"/>
              <w:ind w:left="64" w:right="0" w:firstLine="0"/>
            </w:pPr>
            <w:r>
              <w:rPr>
                <w:sz w:val="20"/>
              </w:rPr>
              <w:t>Таблица 1</w:t>
            </w:r>
          </w:p>
        </w:tc>
      </w:tr>
      <w:tr w:rsidR="008406E9">
        <w:trPr>
          <w:trHeight w:val="6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06E9" w:rsidRDefault="008C12D3">
            <w:pPr>
              <w:spacing w:after="0"/>
              <w:ind w:left="0" w:right="4" w:firstLine="0"/>
              <w:jc w:val="center"/>
            </w:pPr>
            <w:r>
              <w:rPr>
                <w:sz w:val="18"/>
              </w:rPr>
              <w:t>п/п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Вид дефекта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30" w:right="0" w:firstLine="0"/>
              <w:jc w:val="center"/>
            </w:pPr>
            <w:r>
              <w:rPr>
                <w:sz w:val="20"/>
              </w:rPr>
              <w:t>Поверхность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722" w:right="0" w:hanging="289"/>
            </w:pPr>
            <w:r>
              <w:rPr>
                <w:sz w:val="20"/>
              </w:rPr>
              <w:t>Допускаемая норма</w:t>
            </w:r>
          </w:p>
        </w:tc>
      </w:tr>
      <w:tr w:rsidR="008406E9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74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8406E9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8" w:right="0" w:firstLine="0"/>
            </w:pPr>
            <w:r>
              <w:rPr>
                <w:sz w:val="20"/>
              </w:rPr>
              <w:t>Прогары и обнажение грунта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02" w:right="0" w:firstLine="0"/>
            </w:pPr>
            <w:r>
              <w:rPr>
                <w:sz w:val="20"/>
              </w:rPr>
              <w:t>на кромках бортов корпусов</w:t>
            </w:r>
          </w:p>
          <w:p w:rsidR="008406E9" w:rsidRDefault="008C12D3">
            <w:pPr>
              <w:spacing w:after="0"/>
              <w:ind w:left="102" w:right="0" w:firstLine="0"/>
            </w:pPr>
            <w:r>
              <w:rPr>
                <w:sz w:val="20"/>
              </w:rPr>
              <w:t>и ышек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760" w:firstLine="0"/>
            </w:pPr>
            <w:r>
              <w:rPr>
                <w:sz w:val="20"/>
              </w:rPr>
              <w:t>шириной не более 4 мм</w:t>
            </w:r>
          </w:p>
        </w:tc>
      </w:tr>
      <w:tr w:rsidR="008406E9">
        <w:trPr>
          <w:trHeight w:val="6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8" w:right="136" w:firstLine="0"/>
              <w:jc w:val="both"/>
            </w:pPr>
            <w:r>
              <w:rPr>
                <w:sz w:val="20"/>
              </w:rPr>
              <w:t>Сколы без обнажения металла вокруг следов от обжигового инс ента и желтизна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6" w:right="0" w:firstLine="0"/>
              <w:jc w:val="both"/>
            </w:pPr>
            <w:r>
              <w:rPr>
                <w:sz w:val="20"/>
              </w:rPr>
              <w:t>в местах контакта посуды и обжигового инструмента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18"/>
              </w:rPr>
              <w:t>не нормируются</w:t>
            </w:r>
          </w:p>
        </w:tc>
      </w:tr>
      <w:tr w:rsidR="008406E9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21" w:firstLine="0"/>
              <w:jc w:val="center"/>
            </w:pPr>
            <w:r>
              <w:t>З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8" w:right="374" w:firstLine="0"/>
              <w:jc w:val="both"/>
            </w:pPr>
            <w:r>
              <w:rPr>
                <w:sz w:val="18"/>
              </w:rPr>
              <w:t>Нарушение сплошности пок овной эмали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6" w:right="400" w:firstLine="0"/>
              <w:jc w:val="both"/>
            </w:pPr>
            <w:r>
              <w:rPr>
                <w:sz w:val="20"/>
              </w:rPr>
              <w:t>на швах наружной и в енней пове хности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18"/>
              </w:rPr>
              <w:t>не нормируется</w:t>
            </w:r>
          </w:p>
        </w:tc>
      </w:tr>
      <w:tr w:rsidR="008406E9">
        <w:trPr>
          <w:trHeight w:val="8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6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2" w:right="0" w:firstLine="0"/>
            </w:pPr>
            <w:r>
              <w:rPr>
                <w:sz w:val="20"/>
              </w:rPr>
              <w:t>Оплавленные волосные линии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191" w:firstLine="6"/>
            </w:pPr>
            <w:r>
              <w:rPr>
                <w:sz w:val="20"/>
              </w:rPr>
              <w:t>в местах приварки арматуры наружной и внутренней поверхности, а также на донной части изделий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18"/>
              </w:rPr>
              <w:t>не нормируются</w:t>
            </w:r>
          </w:p>
        </w:tc>
      </w:tr>
      <w:tr w:rsidR="008406E9">
        <w:trPr>
          <w:trHeight w:val="4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6" w:right="0" w:firstLine="0"/>
            </w:pPr>
            <w:r>
              <w:rPr>
                <w:sz w:val="20"/>
              </w:rPr>
              <w:t>Просветы покровной эмали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553" w:firstLine="0"/>
            </w:pPr>
            <w:r>
              <w:rPr>
                <w:sz w:val="20"/>
              </w:rPr>
              <w:t>на ручках и радиусах зак глений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18"/>
              </w:rPr>
              <w:t>не нормируются</w:t>
            </w:r>
          </w:p>
        </w:tc>
      </w:tr>
      <w:tr w:rsidR="008406E9">
        <w:trPr>
          <w:trHeight w:val="4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2" w:right="0" w:firstLine="0"/>
            </w:pPr>
            <w:r>
              <w:rPr>
                <w:sz w:val="20"/>
              </w:rPr>
              <w:t>Обнажение грунтовой эмали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0" w:firstLine="0"/>
            </w:pPr>
            <w:r>
              <w:rPr>
                <w:sz w:val="20"/>
              </w:rPr>
              <w:t>наружная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289" w:firstLine="0"/>
              <w:jc w:val="both"/>
            </w:pPr>
            <w:r>
              <w:rPr>
                <w:sz w:val="20"/>
              </w:rPr>
              <w:t>общей площадью не более 1 см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406E9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6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6E9" w:rsidRDefault="008C12D3">
            <w:pPr>
              <w:spacing w:after="0"/>
              <w:ind w:left="22" w:right="0" w:firstLine="0"/>
            </w:pPr>
            <w:r>
              <w:rPr>
                <w:sz w:val="18"/>
              </w:rPr>
              <w:t>П ога ы,</w:t>
            </w:r>
          </w:p>
        </w:tc>
        <w:tc>
          <w:tcPr>
            <w:tcW w:w="16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" w:right="0" w:firstLine="0"/>
            </w:pPr>
            <w:r>
              <w:rPr>
                <w:sz w:val="20"/>
              </w:rPr>
              <w:t>ате ы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0" w:firstLine="0"/>
            </w:pPr>
            <w:r>
              <w:rPr>
                <w:sz w:val="20"/>
              </w:rPr>
              <w:t>на жная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20"/>
              </w:rPr>
              <w:t>по об азц -эталон</w:t>
            </w:r>
          </w:p>
        </w:tc>
      </w:tr>
      <w:tr w:rsidR="008406E9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2" w:right="0" w:firstLine="0"/>
            </w:pPr>
            <w:r>
              <w:rPr>
                <w:sz w:val="20"/>
              </w:rPr>
              <w:t>Пятно эмали другого цвета, пятно от окалины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0" w:firstLine="0"/>
            </w:pPr>
            <w:r>
              <w:rPr>
                <w:sz w:val="20"/>
              </w:rPr>
              <w:t>наружная и внутренняя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18"/>
              </w:rPr>
              <w:t>по образцу-эталону</w:t>
            </w:r>
          </w:p>
        </w:tc>
      </w:tr>
      <w:tr w:rsidR="008406E9">
        <w:trPr>
          <w:trHeight w:val="4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6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2" w:right="505" w:firstLine="0"/>
              <w:jc w:val="both"/>
            </w:pPr>
            <w:r>
              <w:rPr>
                <w:sz w:val="18"/>
              </w:rPr>
              <w:t>Неоднородность цвета пок овной эмали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0" w:firstLine="0"/>
            </w:pPr>
            <w:r>
              <w:rPr>
                <w:sz w:val="20"/>
              </w:rPr>
              <w:t>наружная и внутренняя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18"/>
              </w:rPr>
              <w:t>не нормируется</w:t>
            </w:r>
          </w:p>
        </w:tc>
      </w:tr>
      <w:tr w:rsidR="008406E9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4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2" w:right="0" w:firstLine="0"/>
            </w:pPr>
            <w:r>
              <w:rPr>
                <w:sz w:val="20"/>
              </w:rPr>
              <w:t>Местные олщения эмали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6E9" w:rsidRDefault="008C12D3">
            <w:pPr>
              <w:spacing w:after="0"/>
              <w:ind w:left="91" w:right="0" w:firstLine="0"/>
            </w:pPr>
            <w:r>
              <w:rPr>
                <w:sz w:val="20"/>
              </w:rPr>
              <w:t xml:space="preserve">на жная и вн </w:t>
            </w:r>
          </w:p>
        </w:tc>
        <w:tc>
          <w:tcPr>
            <w:tcW w:w="1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77" w:right="0" w:firstLine="0"/>
            </w:pPr>
            <w:r>
              <w:rPr>
                <w:sz w:val="20"/>
              </w:rPr>
              <w:t>енняя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6E9" w:rsidRDefault="008C12D3">
            <w:pPr>
              <w:spacing w:after="0"/>
              <w:ind w:left="99" w:right="0" w:firstLine="0"/>
            </w:pPr>
            <w:r>
              <w:rPr>
                <w:sz w:val="18"/>
              </w:rPr>
              <w:t>не но ми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306" w:right="0" w:firstLine="0"/>
            </w:pPr>
            <w:r>
              <w:rPr>
                <w:sz w:val="20"/>
              </w:rPr>
              <w:t>тся</w:t>
            </w:r>
          </w:p>
        </w:tc>
      </w:tr>
      <w:tr w:rsidR="008406E9">
        <w:trPr>
          <w:trHeight w:val="825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21" w:firstLine="0"/>
              <w:jc w:val="center"/>
            </w:pPr>
            <w:r>
              <w:rPr>
                <w:sz w:val="28"/>
              </w:rPr>
              <w:t>l l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6" w:right="232" w:firstLine="0"/>
              <w:jc w:val="both"/>
            </w:pPr>
            <w:r>
              <w:rPr>
                <w:sz w:val="20"/>
              </w:rPr>
              <w:t>Неровность нанесения бортовой эмали, вскип и желтизна в месте соединения ее с пок овной эмалью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0" w:firstLine="0"/>
            </w:pPr>
            <w:r>
              <w:rPr>
                <w:sz w:val="20"/>
              </w:rPr>
              <w:t>наружная и внутренняя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3" w:right="629" w:firstLine="0"/>
            </w:pPr>
            <w:r>
              <w:rPr>
                <w:sz w:val="20"/>
              </w:rPr>
              <w:t>глубиной не более 6,0 мм</w:t>
            </w:r>
          </w:p>
        </w:tc>
      </w:tr>
      <w:tr w:rsidR="008406E9">
        <w:trPr>
          <w:trHeight w:val="6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6" w:right="0" w:firstLine="0"/>
            </w:pPr>
            <w:r>
              <w:rPr>
                <w:sz w:val="20"/>
              </w:rPr>
              <w:t>Пузыри, бугорки, кратеры на швах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1" w:right="831" w:hanging="6"/>
            </w:pPr>
            <w:r>
              <w:rPr>
                <w:sz w:val="20"/>
              </w:rPr>
              <w:t>наружная внутренняя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7" w:right="312" w:firstLine="6"/>
              <w:jc w:val="both"/>
            </w:pPr>
            <w:r>
              <w:rPr>
                <w:sz w:val="20"/>
              </w:rPr>
              <w:t>не нормируются размером до 4,0 мм не более,б шт.</w:t>
            </w:r>
          </w:p>
        </w:tc>
      </w:tr>
      <w:tr w:rsidR="008406E9">
        <w:trPr>
          <w:trHeight w:val="846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62" w:right="0" w:firstLine="0"/>
            </w:pPr>
            <w:r>
              <w:rPr>
                <w:sz w:val="18"/>
              </w:rPr>
              <w:t>Посторонние включения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5" w:right="831" w:firstLine="0"/>
            </w:pPr>
            <w:r>
              <w:rPr>
                <w:sz w:val="20"/>
              </w:rPr>
              <w:t>наружная внутренняя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7" w:right="221" w:firstLine="6"/>
              <w:jc w:val="both"/>
            </w:pPr>
            <w:r>
              <w:rPr>
                <w:sz w:val="18"/>
              </w:rPr>
              <w:t>не нормируются, размером до З мм не более 5 шт.</w:t>
            </w:r>
          </w:p>
        </w:tc>
      </w:tr>
      <w:tr w:rsidR="008406E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16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1" w:right="0" w:firstLine="0"/>
            </w:pPr>
            <w:r>
              <w:rPr>
                <w:sz w:val="20"/>
              </w:rPr>
              <w:t>Разрывы покровной эмали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5" w:right="0" w:firstLine="0"/>
            </w:pPr>
            <w:r>
              <w:rPr>
                <w:sz w:val="20"/>
              </w:rPr>
              <w:t>наружная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93" w:right="0" w:firstLine="0"/>
            </w:pPr>
            <w:r>
              <w:rPr>
                <w:sz w:val="18"/>
              </w:rPr>
              <w:t>по всему периметру</w:t>
            </w:r>
          </w:p>
          <w:p w:rsidR="008406E9" w:rsidRDefault="008C12D3">
            <w:pPr>
              <w:spacing w:after="0"/>
              <w:ind w:left="87" w:right="0" w:firstLine="0"/>
            </w:pPr>
            <w:r>
              <w:rPr>
                <w:sz w:val="18"/>
              </w:rPr>
              <w:t>60 та</w:t>
            </w:r>
          </w:p>
        </w:tc>
      </w:tr>
      <w:tr w:rsidR="008406E9">
        <w:trPr>
          <w:trHeight w:val="359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6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33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5" w:right="0" w:firstLine="6"/>
            </w:pPr>
            <w:r>
              <w:rPr>
                <w:sz w:val="20"/>
              </w:rPr>
              <w:t>Следы от штампующего и закаточного инструмента, вмятины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5" w:right="0" w:firstLine="0"/>
            </w:pPr>
            <w:r>
              <w:rPr>
                <w:sz w:val="18"/>
              </w:rPr>
              <w:t>наружная и внутренняя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7" w:right="0" w:firstLine="0"/>
            </w:pPr>
            <w:r>
              <w:rPr>
                <w:sz w:val="20"/>
              </w:rPr>
              <w:t>не препятствующие использованию по назначению</w:t>
            </w:r>
          </w:p>
        </w:tc>
      </w:tr>
      <w:tr w:rsidR="008406E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27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5" w:right="0" w:firstLine="0"/>
              <w:jc w:val="both"/>
            </w:pPr>
            <w:r>
              <w:rPr>
                <w:sz w:val="18"/>
              </w:rPr>
              <w:t>Вскип эмали (в виде апельсиновой ко ки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5" w:right="0" w:firstLine="0"/>
            </w:pPr>
            <w:r>
              <w:rPr>
                <w:sz w:val="18"/>
              </w:rPr>
              <w:t>наружная и внутренняя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1" w:right="0" w:firstLine="0"/>
            </w:pPr>
            <w:r>
              <w:rPr>
                <w:sz w:val="18"/>
              </w:rPr>
              <w:t>не нормируется</w:t>
            </w:r>
          </w:p>
        </w:tc>
      </w:tr>
      <w:tr w:rsidR="008406E9">
        <w:trPr>
          <w:trHeight w:val="209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18" w:right="0" w:firstLine="0"/>
            </w:pPr>
            <w:r>
              <w:rPr>
                <w:noProof/>
              </w:rPr>
              <w:drawing>
                <wp:inline distT="0" distB="0" distL="0" distR="0">
                  <wp:extent cx="158402" cy="853025"/>
                  <wp:effectExtent l="0" t="0" r="0" b="0"/>
                  <wp:docPr id="5039" name="Picture 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9" name="Picture 50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2" cy="85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33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5" w:right="0" w:firstLine="0"/>
              <w:jc w:val="both"/>
            </w:pPr>
            <w:r>
              <w:rPr>
                <w:sz w:val="20"/>
              </w:rPr>
              <w:t>Смещение арматуры от номинального расположения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1" w:right="306" w:firstLine="6"/>
              <w:jc w:val="both"/>
            </w:pPr>
            <w:r>
              <w:rPr>
                <w:sz w:val="20"/>
              </w:rPr>
              <w:t>не препятствующее использованию по назначению</w:t>
            </w:r>
          </w:p>
        </w:tc>
      </w:tr>
      <w:tr w:rsidR="008406E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38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6E9" w:rsidRDefault="008C12D3">
            <w:pPr>
              <w:spacing w:after="0"/>
              <w:ind w:left="5" w:right="0" w:firstLine="0"/>
              <w:jc w:val="both"/>
            </w:pPr>
            <w:r>
              <w:rPr>
                <w:sz w:val="18"/>
              </w:rPr>
              <w:t xml:space="preserve">Сколы эмали на ножке ве </w:t>
            </w: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09" w:right="0" w:firstLine="0"/>
            </w:pPr>
            <w:r>
              <w:rPr>
                <w:sz w:val="20"/>
              </w:rPr>
              <w:t>а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79" w:right="0" w:firstLine="0"/>
            </w:pPr>
            <w:r>
              <w:rPr>
                <w:sz w:val="20"/>
              </w:rPr>
              <w:t>на жная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81" w:right="0" w:firstLine="0"/>
            </w:pPr>
            <w:r>
              <w:rPr>
                <w:sz w:val="18"/>
              </w:rPr>
              <w:t>не но ми ются</w:t>
            </w:r>
          </w:p>
        </w:tc>
      </w:tr>
      <w:tr w:rsidR="008406E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7820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06E9" w:rsidRDefault="008C12D3">
            <w:pPr>
              <w:spacing w:after="0"/>
              <w:ind w:left="36" w:right="0" w:firstLine="573"/>
            </w:pPr>
            <w:r>
              <w:rPr>
                <w:sz w:val="20"/>
              </w:rPr>
              <w:t>1.3.l .5.2 На декорированных изделиях, кроме перечисленных в таблице, допускаются следующие дефекты рисунка:</w:t>
            </w:r>
          </w:p>
        </w:tc>
      </w:tr>
      <w:tr w:rsidR="008406E9">
        <w:trPr>
          <w:trHeight w:val="425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69" w:right="0" w:firstLine="0"/>
            </w:pPr>
            <w:r>
              <w:rPr>
                <w:noProof/>
              </w:rPr>
              <w:drawing>
                <wp:inline distT="0" distB="0" distL="0" distR="0">
                  <wp:extent cx="111601" cy="554286"/>
                  <wp:effectExtent l="0" t="0" r="0" b="0"/>
                  <wp:docPr id="4989" name="Picture 4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9" name="Picture 49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1" cy="55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46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06E9" w:rsidRDefault="008C12D3">
            <w:pPr>
              <w:spacing w:after="0"/>
              <w:ind w:left="58" w:right="0" w:firstLine="0"/>
              <w:jc w:val="both"/>
            </w:pPr>
            <w:r>
              <w:rPr>
                <w:sz w:val="34"/>
              </w:rPr>
              <w:t>ту 25 99 12-001-00186335-2019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1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06E9" w:rsidRDefault="008C12D3">
            <w:pPr>
              <w:spacing w:after="0"/>
              <w:ind w:left="23" w:right="0" w:firstLine="0"/>
              <w:jc w:val="center"/>
            </w:pPr>
            <w:r>
              <w:rPr>
                <w:sz w:val="20"/>
              </w:rPr>
              <w:t>3</w:t>
            </w:r>
          </w:p>
        </w:tc>
      </w:tr>
      <w:tr w:rsidR="008406E9">
        <w:trPr>
          <w:trHeight w:val="2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-15" w:right="0" w:firstLine="0"/>
              <w:jc w:val="both"/>
            </w:pPr>
            <w:r>
              <w:t xml:space="preserve">Изу 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35" w:right="-62" w:firstLine="0"/>
            </w:pPr>
            <w:r>
              <w:rPr>
                <w:sz w:val="18"/>
              </w:rPr>
              <w:t xml:space="preserve">Лист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0" w:right="94" w:firstLine="0"/>
              <w:jc w:val="right"/>
            </w:pPr>
            <w:r>
              <w:t xml:space="preserve">№ Док м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213" w:right="0" w:firstLine="0"/>
            </w:pPr>
            <w:r>
              <w:t xml:space="preserve">Подп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31" w:right="0" w:firstLine="0"/>
            </w:pPr>
            <w:r>
              <w:rPr>
                <w:sz w:val="20"/>
              </w:rPr>
              <w:t>Пат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</w:tbl>
    <w:p w:rsidR="008406E9" w:rsidRDefault="008C12D3">
      <w:pPr>
        <w:tabs>
          <w:tab w:val="center" w:pos="4303"/>
          <w:tab w:val="center" w:pos="7441"/>
        </w:tabs>
        <w:ind w:left="-457" w:right="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-35987</wp:posOffset>
            </wp:positionH>
            <wp:positionV relativeFrom="paragraph">
              <wp:posOffset>-6741413</wp:posOffset>
            </wp:positionV>
            <wp:extent cx="5587274" cy="597477"/>
            <wp:effectExtent l="0" t="0" r="0" b="0"/>
            <wp:wrapSquare wrapText="bothSides"/>
            <wp:docPr id="5264" name="Picture 5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" name="Picture 5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7274" cy="59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5598086</wp:posOffset>
            </wp:positionH>
            <wp:positionV relativeFrom="paragraph">
              <wp:posOffset>-4952581</wp:posOffset>
            </wp:positionV>
            <wp:extent cx="10800" cy="431911"/>
            <wp:effectExtent l="0" t="0" r="0" b="0"/>
            <wp:wrapSquare wrapText="bothSides"/>
            <wp:docPr id="5265" name="Picture 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" name="Picture 5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" cy="43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5576486</wp:posOffset>
            </wp:positionH>
            <wp:positionV relativeFrom="paragraph">
              <wp:posOffset>-4031170</wp:posOffset>
            </wp:positionV>
            <wp:extent cx="28801" cy="5528463"/>
            <wp:effectExtent l="0" t="0" r="0" b="0"/>
            <wp:wrapSquare wrapText="bothSides"/>
            <wp:docPr id="16610" name="Picture 1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" name="Picture 16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1" cy="552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71224" cy="1612468"/>
            <wp:effectExtent l="0" t="0" r="0" b="0"/>
            <wp:docPr id="16608" name="Picture 1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" name="Picture 166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224" cy="161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Копирођап</w:t>
      </w:r>
      <w:r>
        <w:tab/>
        <w:t>Формат Аб</w:t>
      </w:r>
    </w:p>
    <w:tbl>
      <w:tblPr>
        <w:tblStyle w:val="TableGrid"/>
        <w:tblW w:w="8421" w:type="dxa"/>
        <w:tblInd w:w="162" w:type="dxa"/>
        <w:tblCellMar>
          <w:top w:w="85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10"/>
        <w:gridCol w:w="314"/>
        <w:gridCol w:w="260"/>
        <w:gridCol w:w="420"/>
        <w:gridCol w:w="967"/>
        <w:gridCol w:w="663"/>
        <w:gridCol w:w="433"/>
        <w:gridCol w:w="4698"/>
        <w:gridCol w:w="456"/>
      </w:tblGrid>
      <w:tr w:rsidR="008406E9">
        <w:trPr>
          <w:trHeight w:val="5974"/>
        </w:trPr>
        <w:tc>
          <w:tcPr>
            <w:tcW w:w="52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789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06E9" w:rsidRDefault="008C12D3">
            <w:pPr>
              <w:numPr>
                <w:ilvl w:val="0"/>
                <w:numId w:val="1"/>
              </w:numPr>
              <w:spacing w:after="68"/>
              <w:ind w:left="881" w:right="0" w:hanging="113"/>
            </w:pPr>
            <w:r>
              <w:rPr>
                <w:sz w:val="20"/>
              </w:rPr>
              <w:t>волосные линии и разрывы;</w:t>
            </w:r>
          </w:p>
          <w:p w:rsidR="008406E9" w:rsidRDefault="008C12D3">
            <w:pPr>
              <w:numPr>
                <w:ilvl w:val="0"/>
                <w:numId w:val="1"/>
              </w:numPr>
              <w:spacing w:after="78"/>
              <w:ind w:left="881" w:right="0" w:hanging="113"/>
            </w:pPr>
            <w:r>
              <w:rPr>
                <w:sz w:val="18"/>
              </w:rPr>
              <w:t>нечеткость контура;</w:t>
            </w:r>
          </w:p>
          <w:p w:rsidR="008406E9" w:rsidRDefault="008C12D3">
            <w:pPr>
              <w:numPr>
                <w:ilvl w:val="0"/>
                <w:numId w:val="1"/>
              </w:numPr>
              <w:spacing w:after="124"/>
              <w:ind w:left="881" w:right="0" w:hanging="113"/>
            </w:pPr>
            <w:r>
              <w:rPr>
                <w:sz w:val="18"/>
              </w:rPr>
              <w:t>выгорание и различие в тоне красок;</w:t>
            </w:r>
          </w:p>
          <w:p w:rsidR="008406E9" w:rsidRDefault="008C12D3">
            <w:pPr>
              <w:numPr>
                <w:ilvl w:val="0"/>
                <w:numId w:val="1"/>
              </w:numPr>
              <w:spacing w:after="98"/>
              <w:ind w:left="881" w:right="0" w:hanging="113"/>
            </w:pPr>
            <w:r>
              <w:rPr>
                <w:sz w:val="20"/>
              </w:rPr>
              <w:t>следы лаковой пленки декалькомании керамической.</w:t>
            </w:r>
          </w:p>
          <w:p w:rsidR="008406E9" w:rsidRDefault="008C12D3">
            <w:pPr>
              <w:spacing w:after="168"/>
              <w:ind w:left="765" w:right="0" w:firstLine="0"/>
            </w:pPr>
            <w:r>
              <w:rPr>
                <w:sz w:val="20"/>
              </w:rPr>
              <w:t>1.3.2 Конструкция посуды</w:t>
            </w:r>
          </w:p>
          <w:p w:rsidR="008406E9" w:rsidRDefault="008C12D3">
            <w:pPr>
              <w:spacing w:after="176"/>
              <w:ind w:left="760" w:right="0" w:firstLine="0"/>
            </w:pPr>
            <w:r>
              <w:rPr>
                <w:sz w:val="18"/>
              </w:rPr>
              <w:t>1.3.2.1 Требования к конструкции посуды должны соответствовать ГОСТ 24788.</w:t>
            </w:r>
          </w:p>
          <w:p w:rsidR="008406E9" w:rsidRDefault="008C12D3">
            <w:pPr>
              <w:spacing w:after="155"/>
              <w:ind w:left="754" w:right="0" w:firstLine="0"/>
            </w:pPr>
            <w:r>
              <w:rPr>
                <w:sz w:val="20"/>
              </w:rPr>
              <w:t xml:space="preserve">1.3.22 Прочность крепления арматуры в соответствии </w:t>
            </w:r>
            <w:r>
              <w:rPr>
                <w:sz w:val="20"/>
              </w:rPr>
              <w:t>с требованиями ГОСТ 24788.</w:t>
            </w:r>
          </w:p>
          <w:p w:rsidR="008406E9" w:rsidRDefault="008C12D3">
            <w:pPr>
              <w:spacing w:after="10" w:line="341" w:lineRule="auto"/>
              <w:ind w:left="176" w:right="0" w:firstLine="578"/>
              <w:jc w:val="both"/>
            </w:pPr>
            <w:r>
              <w:rPr>
                <w:sz w:val="20"/>
              </w:rPr>
              <w:t>1.3.2.3 Допускается неплотное прилегание крышек к бортам изделий (овальность корпусов или крышек).</w:t>
            </w:r>
          </w:p>
          <w:p w:rsidR="008406E9" w:rsidRDefault="008C12D3">
            <w:pPr>
              <w:spacing w:after="141"/>
              <w:ind w:left="737" w:right="0" w:firstLine="0"/>
            </w:pPr>
            <w:r>
              <w:rPr>
                <w:sz w:val="20"/>
              </w:rPr>
              <w:t>13.3 Комплектность</w:t>
            </w:r>
          </w:p>
          <w:p w:rsidR="008406E9" w:rsidRDefault="008C12D3">
            <w:pPr>
              <w:spacing w:after="97" w:line="338" w:lineRule="auto"/>
              <w:ind w:left="153" w:right="0" w:firstLine="578"/>
              <w:jc w:val="both"/>
            </w:pPr>
            <w:r>
              <w:rPr>
                <w:sz w:val="20"/>
              </w:rPr>
              <w:t>1.3.3.1 Комплектуемость изделий крышками установлена в соответствии с требованиями ГОСТ 24788.</w:t>
            </w:r>
          </w:p>
          <w:p w:rsidR="008406E9" w:rsidRDefault="008C12D3">
            <w:pPr>
              <w:numPr>
                <w:ilvl w:val="0"/>
                <w:numId w:val="2"/>
              </w:numPr>
              <w:spacing w:after="0" w:line="326" w:lineRule="auto"/>
              <w:ind w:right="47" w:firstLine="573"/>
            </w:pPr>
            <w:r>
              <w:rPr>
                <w:sz w:val="20"/>
              </w:rPr>
              <w:t>.З 3.2 Комплектацию посуды дополнительными устройствами проводят в соответствии с рабочими чертежами.</w:t>
            </w:r>
          </w:p>
          <w:p w:rsidR="008406E9" w:rsidRDefault="008C12D3">
            <w:pPr>
              <w:numPr>
                <w:ilvl w:val="1"/>
                <w:numId w:val="2"/>
              </w:numPr>
              <w:spacing w:after="133"/>
              <w:ind w:left="970" w:right="0" w:hanging="261"/>
            </w:pPr>
            <w:r>
              <w:rPr>
                <w:sz w:val="20"/>
              </w:rPr>
              <w:t>Маркировка</w:t>
            </w:r>
          </w:p>
          <w:p w:rsidR="008406E9" w:rsidRDefault="008C12D3">
            <w:pPr>
              <w:spacing w:after="111"/>
              <w:ind w:left="703" w:right="0" w:firstLine="0"/>
            </w:pPr>
            <w:r>
              <w:rPr>
                <w:sz w:val="20"/>
              </w:rPr>
              <w:t>1.4.1 На каждое изделие наносят маркировку с указанием: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66"/>
              <w:ind w:right="0" w:firstLine="6"/>
            </w:pPr>
            <w:r>
              <w:rPr>
                <w:sz w:val="20"/>
              </w:rPr>
              <w:t>товарного знака предприятия изготовителя;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64"/>
              <w:ind w:right="0" w:firstLine="6"/>
            </w:pPr>
            <w:r>
              <w:rPr>
                <w:sz w:val="18"/>
              </w:rPr>
              <w:t>наименования изделия;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106"/>
              <w:ind w:right="0" w:firstLine="6"/>
            </w:pPr>
            <w:r>
              <w:rPr>
                <w:sz w:val="20"/>
              </w:rPr>
              <w:t>артикула изделия;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120"/>
              <w:ind w:right="0" w:firstLine="6"/>
            </w:pPr>
            <w:r>
              <w:rPr>
                <w:sz w:val="18"/>
              </w:rPr>
              <w:t>вместимости изделия;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108"/>
              <w:ind w:right="0" w:firstLine="6"/>
            </w:pPr>
            <w:r>
              <w:rPr>
                <w:sz w:val="20"/>
              </w:rPr>
              <w:t>обозначения настоящих технических условий;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176"/>
              <w:ind w:right="0" w:firstLine="6"/>
            </w:pPr>
            <w:r>
              <w:rPr>
                <w:sz w:val="20"/>
              </w:rPr>
              <w:t>клейма технического контроля;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158"/>
              <w:ind w:right="0" w:firstLine="6"/>
            </w:pPr>
            <w:r>
              <w:rPr>
                <w:sz w:val="20"/>
              </w:rPr>
              <w:t>изображения национального знака соответствия (при подтверждении соответствия).</w:t>
            </w:r>
          </w:p>
          <w:p w:rsidR="008406E9" w:rsidRDefault="008C12D3">
            <w:pPr>
              <w:spacing w:after="131"/>
              <w:ind w:left="658" w:right="0" w:firstLine="0"/>
            </w:pPr>
            <w:r>
              <w:rPr>
                <w:sz w:val="20"/>
              </w:rPr>
              <w:t>1.4.2 Транспортную тару с грузом маркируют в соответствии с требованиями</w:t>
            </w:r>
          </w:p>
          <w:p w:rsidR="008406E9" w:rsidRDefault="008C12D3">
            <w:pPr>
              <w:spacing w:after="152"/>
              <w:ind w:left="79" w:right="0" w:firstLine="0"/>
            </w:pPr>
            <w:r>
              <w:rPr>
                <w:sz w:val="20"/>
              </w:rPr>
              <w:t>ГОСТ 14192 с нанесением манипуляционных знаков: «Хрупкое. Осторожно»,</w:t>
            </w:r>
          </w:p>
          <w:p w:rsidR="008406E9" w:rsidRDefault="008C12D3">
            <w:pPr>
              <w:spacing w:after="133"/>
              <w:ind w:left="74" w:right="0" w:firstLine="0"/>
            </w:pPr>
            <w:r>
              <w:rPr>
                <w:sz w:val="20"/>
              </w:rPr>
              <w:t>«Беречь от влаги», «Верх». На ярлыке должны быть указаны: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87"/>
              <w:ind w:right="0" w:firstLine="6"/>
            </w:pPr>
            <w:r>
              <w:rPr>
                <w:sz w:val="20"/>
              </w:rPr>
              <w:t>наименование или товарный знак предприятия изготовителя;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7" w:line="350" w:lineRule="auto"/>
              <w:ind w:right="0" w:firstLine="6"/>
            </w:pPr>
            <w:r>
              <w:rPr>
                <w:sz w:val="18"/>
              </w:rPr>
              <w:t>наименование изделия; - количество изделий;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0" w:line="383" w:lineRule="auto"/>
              <w:ind w:right="0" w:firstLine="6"/>
            </w:pPr>
            <w:r>
              <w:rPr>
                <w:sz w:val="20"/>
              </w:rPr>
              <w:t>вместимость изделия; - обоз</w:t>
            </w:r>
            <w:r>
              <w:rPr>
                <w:sz w:val="20"/>
              </w:rPr>
              <w:t>начение настоящих технических условий;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56"/>
              <w:ind w:right="0" w:firstLine="6"/>
            </w:pPr>
            <w:r>
              <w:rPr>
                <w:sz w:val="20"/>
              </w:rPr>
              <w:t>номер упаковщика;</w:t>
            </w:r>
          </w:p>
          <w:p w:rsidR="008406E9" w:rsidRDefault="008C12D3">
            <w:pPr>
              <w:numPr>
                <w:ilvl w:val="0"/>
                <w:numId w:val="3"/>
              </w:numPr>
              <w:spacing w:after="90"/>
              <w:ind w:right="0" w:firstLine="6"/>
            </w:pPr>
            <w:r>
              <w:rPr>
                <w:sz w:val="20"/>
              </w:rPr>
              <w:t>дата упаковки.</w:t>
            </w:r>
          </w:p>
          <w:p w:rsidR="008406E9" w:rsidRDefault="008C12D3">
            <w:pPr>
              <w:spacing w:after="0"/>
              <w:ind w:left="595" w:right="0" w:firstLine="0"/>
            </w:pPr>
            <w:r>
              <w:rPr>
                <w:sz w:val="18"/>
              </w:rPr>
              <w:t>1.5 Упаковка</w:t>
            </w:r>
          </w:p>
        </w:tc>
      </w:tr>
      <w:tr w:rsidR="008406E9">
        <w:trPr>
          <w:trHeight w:val="149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06E9" w:rsidRDefault="008C12D3">
            <w:pPr>
              <w:spacing w:after="0"/>
              <w:ind w:left="53" w:right="0" w:firstLine="0"/>
              <w:jc w:val="both"/>
            </w:pPr>
            <w:r>
              <w:rPr>
                <w:sz w:val="12"/>
              </w:rPr>
              <w:t>гез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1071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106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149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436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  <w:tr w:rsidR="008406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4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06E9" w:rsidRDefault="008C12D3">
            <w:pPr>
              <w:spacing w:after="0"/>
              <w:ind w:left="86" w:right="0" w:firstLine="0"/>
              <w:jc w:val="both"/>
            </w:pPr>
            <w:r>
              <w:rPr>
                <w:sz w:val="34"/>
              </w:rPr>
              <w:t>ту 25 99 12-001-00186335-2019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43" w:right="0" w:firstLine="0"/>
              <w:jc w:val="both"/>
            </w:pPr>
            <w:r>
              <w:rPr>
                <w:sz w:val="18"/>
              </w:rPr>
              <w:t>Лист</w:t>
            </w:r>
          </w:p>
        </w:tc>
      </w:tr>
      <w:tr w:rsidR="008406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-6" w:right="0" w:firstLine="0"/>
            </w:pPr>
            <w:r>
              <w:rPr>
                <w:sz w:val="14"/>
              </w:rPr>
              <w:t>Из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35" w:right="0" w:firstLine="0"/>
              <w:jc w:val="both"/>
            </w:pPr>
            <w:r>
              <w:rPr>
                <w:sz w:val="18"/>
              </w:rPr>
              <w:t>Лист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06E9" w:rsidRDefault="008C12D3">
            <w:pPr>
              <w:spacing w:after="0"/>
              <w:ind w:left="159" w:right="0" w:firstLine="0"/>
            </w:pPr>
            <w:r>
              <w:t>№ Док 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C12D3">
            <w:pPr>
              <w:spacing w:after="0"/>
              <w:ind w:left="150" w:right="0" w:firstLine="0"/>
            </w:pPr>
            <w:r>
              <w:rPr>
                <w:sz w:val="14"/>
              </w:rPr>
              <w:t>[7Udn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06E9" w:rsidRDefault="008C12D3">
            <w:pPr>
              <w:spacing w:after="0"/>
              <w:ind w:left="26" w:right="0" w:firstLine="0"/>
              <w:jc w:val="both"/>
            </w:pPr>
            <w:r>
              <w:rPr>
                <w:sz w:val="20"/>
              </w:rPr>
              <w:t>Пат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E9" w:rsidRDefault="008406E9">
            <w:pPr>
              <w:spacing w:after="160"/>
              <w:ind w:left="0" w:right="0" w:firstLine="0"/>
            </w:pPr>
          </w:p>
        </w:tc>
      </w:tr>
    </w:tbl>
    <w:p w:rsidR="008406E9" w:rsidRDefault="008C12D3">
      <w:pPr>
        <w:tabs>
          <w:tab w:val="center" w:pos="4275"/>
          <w:tab w:val="center" w:pos="7418"/>
        </w:tabs>
        <w:ind w:left="0" w:right="0" w:firstLine="0"/>
      </w:pPr>
      <w:r>
        <w:tab/>
        <w:t>Копирођап</w:t>
      </w:r>
      <w:r>
        <w:tab/>
        <w:t>Формат Аб</w:t>
      </w:r>
    </w:p>
    <w:sectPr w:rsidR="008406E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5379"/>
    <w:multiLevelType w:val="hybridMultilevel"/>
    <w:tmpl w:val="116CDD92"/>
    <w:lvl w:ilvl="0" w:tplc="ED8CC476">
      <w:start w:val="1"/>
      <w:numFmt w:val="bullet"/>
      <w:lvlText w:val="-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A1A54">
      <w:start w:val="1"/>
      <w:numFmt w:val="bullet"/>
      <w:lvlText w:val="o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C3D3C">
      <w:start w:val="1"/>
      <w:numFmt w:val="bullet"/>
      <w:lvlText w:val="▪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EBA2">
      <w:start w:val="1"/>
      <w:numFmt w:val="bullet"/>
      <w:lvlText w:val="•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E0480">
      <w:start w:val="1"/>
      <w:numFmt w:val="bullet"/>
      <w:lvlText w:val="o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E1C16">
      <w:start w:val="1"/>
      <w:numFmt w:val="bullet"/>
      <w:lvlText w:val="▪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27634">
      <w:start w:val="1"/>
      <w:numFmt w:val="bullet"/>
      <w:lvlText w:val="•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66F98">
      <w:start w:val="1"/>
      <w:numFmt w:val="bullet"/>
      <w:lvlText w:val="o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8AC98">
      <w:start w:val="1"/>
      <w:numFmt w:val="bullet"/>
      <w:lvlText w:val="▪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F548F"/>
    <w:multiLevelType w:val="hybridMultilevel"/>
    <w:tmpl w:val="8916A84A"/>
    <w:lvl w:ilvl="0" w:tplc="8E70E838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44E5C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2098E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D13A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A190E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ABD44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F832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2F92E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009D8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BB6134"/>
    <w:multiLevelType w:val="multilevel"/>
    <w:tmpl w:val="B00A1546"/>
    <w:lvl w:ilvl="0">
      <w:start w:val="1"/>
      <w:numFmt w:val="decimal"/>
      <w:lvlText w:val="%1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E9"/>
    <w:rsid w:val="008406E9"/>
    <w:rsid w:val="008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286D-70EE-43CD-96A7-6325401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/>
      <w:ind w:left="-432" w:right="193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О.А. ОТДЕЛ КОНТРОЛЯ КАЧЕСТВА И ПРЕТЕНЗИОННОЙ РАБОТЫ</dc:creator>
  <cp:keywords/>
  <cp:lastModifiedBy>Светабойка</cp:lastModifiedBy>
  <cp:revision>2</cp:revision>
  <dcterms:created xsi:type="dcterms:W3CDTF">2024-04-04T12:27:00Z</dcterms:created>
  <dcterms:modified xsi:type="dcterms:W3CDTF">2024-04-04T12:27:00Z</dcterms:modified>
</cp:coreProperties>
</file>